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89577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8C7D9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1D6501">
        <w:rPr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1D6501">
        <w:rPr>
          <w:b/>
          <w:bCs/>
          <w:iCs/>
          <w:color w:val="0070C0"/>
          <w:sz w:val="24"/>
          <w:szCs w:val="24"/>
        </w:rPr>
        <w:t>Zadanie 6. w ramach Projektu pn. „</w:t>
      </w:r>
      <w:r w:rsidRPr="001D6501">
        <w:rPr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1D6501">
        <w:rPr>
          <w:b/>
          <w:bCs/>
          <w:iCs/>
          <w:color w:val="0070C0"/>
          <w:sz w:val="24"/>
          <w:szCs w:val="24"/>
        </w:rPr>
        <w:t>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334946" w:rsidP="005A4882">
    <w:pPr>
      <w:pStyle w:val="Nagwek"/>
      <w:jc w:val="center"/>
    </w:pPr>
    <w:r w:rsidRPr="0033494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8A6067" wp14:editId="6EA0F92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1178FD"/>
    <w:rsid w:val="001D6501"/>
    <w:rsid w:val="00334946"/>
    <w:rsid w:val="0035130E"/>
    <w:rsid w:val="004343CE"/>
    <w:rsid w:val="005A4882"/>
    <w:rsid w:val="006E653D"/>
    <w:rsid w:val="006F428A"/>
    <w:rsid w:val="00895778"/>
    <w:rsid w:val="008C7D98"/>
    <w:rsid w:val="00953EE2"/>
    <w:rsid w:val="00B21220"/>
    <w:rsid w:val="00C34E8E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17</cp:revision>
  <cp:lastPrinted>2018-09-25T14:01:00Z</cp:lastPrinted>
  <dcterms:created xsi:type="dcterms:W3CDTF">2018-03-22T10:54:00Z</dcterms:created>
  <dcterms:modified xsi:type="dcterms:W3CDTF">2018-09-25T14:01:00Z</dcterms:modified>
</cp:coreProperties>
</file>